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outlineLvl w:val="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附1</w:t>
      </w:r>
    </w:p>
    <w:p>
      <w:pPr>
        <w:snapToGrid w:val="0"/>
        <w:spacing w:line="720" w:lineRule="exact"/>
        <w:jc w:val="center"/>
        <w:rPr>
          <w:rFonts w:hint="default" w:ascii="方正小标宋_GBK" w:hAnsi="方正小标宋_GBK" w:eastAsia="方正小标宋_GBK"/>
          <w:sz w:val="44"/>
        </w:rPr>
      </w:pPr>
      <w:r>
        <w:rPr>
          <w:rFonts w:hint="eastAsia" w:ascii="方正小标宋_GBK" w:hAnsi="方正小标宋_GBK" w:eastAsia="方正小标宋_GBK"/>
          <w:sz w:val="44"/>
        </w:rPr>
        <w:t>中国人民银行       行（营业管理部）</w:t>
      </w:r>
    </w:p>
    <w:p>
      <w:pPr>
        <w:snapToGrid w:val="0"/>
        <w:spacing w:line="720" w:lineRule="exact"/>
        <w:jc w:val="center"/>
        <w:rPr>
          <w:rFonts w:hint="default" w:eastAsia="黑体"/>
          <w:sz w:val="44"/>
        </w:rPr>
      </w:pPr>
      <w:r>
        <w:rPr>
          <w:rFonts w:hint="eastAsia" w:ascii="方正小标宋_GBK" w:hAnsi="方正小标宋_GBK" w:eastAsia="方正小标宋_GBK"/>
          <w:sz w:val="44"/>
        </w:rPr>
        <w:t>反洗钱监管审批表</w:t>
      </w:r>
    </w:p>
    <w:p>
      <w:pPr>
        <w:snapToGrid w:val="0"/>
        <w:spacing w:line="288" w:lineRule="auto"/>
        <w:jc w:val="center"/>
        <w:rPr>
          <w:rFonts w:hint="default" w:ascii="仿宋_GB2312" w:eastAsia="仿宋_GB2312"/>
          <w:sz w:val="30"/>
        </w:rPr>
      </w:pPr>
    </w:p>
    <w:p>
      <w:pPr>
        <w:snapToGrid w:val="0"/>
        <w:spacing w:line="288" w:lineRule="auto"/>
        <w:jc w:val="center"/>
        <w:rPr>
          <w:rFonts w:hint="default"/>
          <w:sz w:val="30"/>
        </w:rPr>
      </w:pPr>
      <w:r>
        <w:rPr>
          <w:rFonts w:hint="eastAsia" w:ascii="仿宋_GB2312" w:eastAsia="仿宋_GB2312"/>
          <w:sz w:val="30"/>
        </w:rPr>
        <w:t>反洗钱</w:t>
      </w:r>
      <w:r>
        <w:rPr>
          <w:rFonts w:hint="eastAsia" w:ascii="仿宋_GB2312" w:eastAsia="仿宋_GB2312"/>
          <w:sz w:val="30"/>
          <w:u w:val="single"/>
        </w:rPr>
        <w:t xml:space="preserve">    </w:t>
      </w:r>
      <w:r>
        <w:rPr>
          <w:rFonts w:hint="eastAsia" w:ascii="仿宋_GB2312" w:eastAsia="仿宋_GB2312"/>
          <w:sz w:val="30"/>
        </w:rPr>
        <w:t>〔〕   号</w:t>
      </w:r>
    </w:p>
    <w:tbl>
      <w:tblPr>
        <w:tblStyle w:val="2"/>
        <w:tblW w:w="9101" w:type="dxa"/>
        <w:jc w:val="center"/>
        <w:tblInd w:w="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2880"/>
        <w:gridCol w:w="5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反洗钱监管立项申请内容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项目名称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监管理由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监管依据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监管对象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 w:val="0"/>
              <w:pBdr>
                <w:bottom w:val="none" w:color="auto" w:sz="0" w:space="0"/>
              </w:pBdr>
              <w:spacing w:before="0" w:beforeLines="0" w:after="0" w:afterLines="0"/>
              <w:textAlignment w:val="auto"/>
              <w:rPr>
                <w:rFonts w:hint="default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监管内容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监管期限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日至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监管方式</w:t>
            </w:r>
          </w:p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（在对应项后打√）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约见谈话□  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 xml:space="preserve"> 监管走访□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监管实施时间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日至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监管人员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监管组组长：</w:t>
            </w:r>
          </w:p>
          <w:p>
            <w:pPr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监管组成员：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6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审批情况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部门负责人</w:t>
            </w:r>
          </w:p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签字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行（营业管理部）领导</w:t>
            </w:r>
          </w:p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审批签字</w:t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</w:tr>
    </w:tbl>
    <w:p>
      <w:pPr>
        <w:spacing w:line="520" w:lineRule="exact"/>
        <w:outlineLvl w:val="0"/>
        <w:rPr>
          <w:rFonts w:hint="default" w:ascii="黑体" w:hAnsi="黑体" w:eastAsia="黑体"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14D43"/>
    <w:rsid w:val="15B8051F"/>
    <w:rsid w:val="60F0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xl70"/>
    <w:basedOn w:val="1"/>
    <w:uiPriority w:val="0"/>
    <w:pPr>
      <w:widowControl/>
      <w:pBdr>
        <w:bottom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Arial Unicode MS"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2025-09-07T09:23:00Z</dcterms:created>
  <dc:creator>胡晓炜</dc:creator>
  <cp:lastModifiedBy>胡晓炜</cp:lastModifiedBy>
  <dcterms:modified xsi:type="dcterms:W3CDTF">2025-11-27T14:35:19Z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